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8134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2340cde9-9dd0-4457-9e13-e5710f0d482f" w:id="2"/>
      <w:r>
        <w:rPr>
          <w:rFonts w:ascii="Times New Roman" w:hAnsi="Times New Roman"/>
          <w:b/>
          <w:i w:val="false"/>
          <w:color w:val="000000"/>
          <w:sz w:val="28"/>
        </w:rPr>
        <w:t xml:space="preserve"> 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1370419)</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 xml:space="preserve">2023 </w:t>
      </w:r>
      <w:bookmarkEnd w:id="4"/>
    </w:p>
    <w:p>
      <w:pPr>
        <w:spacing w:before="0" w:after="0"/>
        <w:ind w:left="120"/>
        <w:jc w:val="left"/>
      </w:pPr>
    </w:p>
    <w:bookmarkStart w:name="block-9813418" w:id="5"/>
    <w:p>
      <w:pPr>
        <w:sectPr>
          <w:pgSz w:w="11906" w:h="16383" w:orient="portrait"/>
        </w:sectPr>
      </w:pPr>
    </w:p>
    <w:bookmarkEnd w:id="5"/>
    <w:bookmarkEnd w:id="0"/>
    <w:bookmarkStart w:name="block-981341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9813417" w:id="7"/>
    <w:p>
      <w:pPr>
        <w:sectPr>
          <w:pgSz w:w="11906" w:h="16383" w:orient="portrait"/>
        </w:sectPr>
      </w:pPr>
    </w:p>
    <w:bookmarkEnd w:id="7"/>
    <w:bookmarkEnd w:id="6"/>
    <w:bookmarkStart w:name="block-9813421"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9813421" w:id="9"/>
    <w:p>
      <w:pPr>
        <w:sectPr>
          <w:pgSz w:w="11906" w:h="16383" w:orient="portrait"/>
        </w:sectPr>
      </w:pPr>
    </w:p>
    <w:bookmarkEnd w:id="9"/>
    <w:bookmarkEnd w:id="8"/>
    <w:bookmarkStart w:name="block-9813419"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9813419" w:id="11"/>
    <w:p>
      <w:pPr>
        <w:sectPr>
          <w:pgSz w:w="11906" w:h="16383" w:orient="portrait"/>
        </w:sectPr>
      </w:pPr>
    </w:p>
    <w:bookmarkEnd w:id="11"/>
    <w:bookmarkEnd w:id="10"/>
    <w:bookmarkStart w:name="block-981342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71"/>
        <w:gridCol w:w="2560"/>
        <w:gridCol w:w="1866"/>
        <w:gridCol w:w="3061"/>
        <w:gridCol w:w="5095"/>
        <w:gridCol w:w="41"/>
      </w:tblGrid>
      <w:tr>
        <w:trPr>
          <w:trHeight w:val="300" w:hRule="atLeast"/>
          <w:trHeight w:val="144" w:hRule="atLeast"/>
        </w:trPr>
        <w:tc>
          <w:tcPr>
            <w:tcW w:w="6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566" w:type="dxa"/>
            <w:tcBorders/>
            <w:tcMar>
              <w:top w:w="50" w:type="dxa"/>
              <w:left w:w="100" w:type="dxa"/>
            </w:tcMar>
            <w:vAlign w:val="center"/>
          </w:tcPr>
          <w:p>
            <w:pPr>
              <w:spacing w:before="0" w:after="0"/>
              <w:ind w:left="135"/>
              <w:jc w:val="left"/>
            </w:pPr>
          </w:p>
        </w:tc>
      </w:tr>
      <w:tr>
        <w:trPr>
          <w:trHeight w:val="109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566" w:type="dxa"/>
            <w:tcBorders/>
            <w:tcMar>
              <w:top w:w="50" w:type="dxa"/>
              <w:left w:w="100" w:type="dxa"/>
            </w:tcMar>
            <w:vAlign w:val="center"/>
          </w:tcPr>
          <w:p>
            <w:pPr>
              <w:spacing w:before="0" w:after="0"/>
              <w:ind w:left="135"/>
              <w:jc w:val="left"/>
            </w:pP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66" w:type="dxa"/>
            <w:tcBorders/>
            <w:tcMar>
              <w:top w:w="50" w:type="dxa"/>
              <w:left w:w="100" w:type="dxa"/>
            </w:tcMar>
            <w:vAlign w:val="center"/>
          </w:tcPr>
          <w:p>
            <w:pPr>
              <w:spacing w:before="0" w:after="0"/>
              <w:ind w:left="135"/>
              <w:jc w:val="left"/>
            </w:pP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566" w:type="dxa"/>
            <w:tcBorders/>
            <w:tcMar>
              <w:top w:w="50" w:type="dxa"/>
              <w:left w:w="100" w:type="dxa"/>
            </w:tcMar>
            <w:vAlign w:val="center"/>
          </w:tcPr>
          <w:p>
            <w:pPr>
              <w:spacing w:before="0" w:after="0"/>
              <w:ind w:left="135"/>
              <w:jc w:val="left"/>
            </w:pP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460"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566" w:type="dxa"/>
            <w:tcBorders/>
            <w:tcMar>
              <w:top w:w="50" w:type="dxa"/>
              <w:left w:w="100" w:type="dxa"/>
            </w:tcMar>
            <w:vAlign w:val="center"/>
          </w:tcPr>
          <w:p>
            <w:pPr>
              <w:spacing w:before="0" w:after="0"/>
              <w:ind w:left="135"/>
              <w:jc w:val="left"/>
            </w:pPr>
          </w:p>
        </w:tc>
      </w:tr>
      <w:tr>
        <w:trPr>
          <w:trHeight w:val="163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271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356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9813422" w:id="13"/>
    <w:p>
      <w:pPr>
        <w:sectPr>
          <w:pgSz w:w="16383" w:h="11906" w:orient="landscape"/>
        </w:sectPr>
      </w:pPr>
    </w:p>
    <w:bookmarkEnd w:id="13"/>
    <w:bookmarkEnd w:id="12"/>
    <w:bookmarkStart w:name="block-981342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34"/>
        <w:gridCol w:w="3600"/>
        <w:gridCol w:w="2387"/>
        <w:gridCol w:w="3623"/>
        <w:gridCol w:w="2750"/>
      </w:tblGrid>
      <w:tr>
        <w:trPr>
          <w:trHeight w:val="300" w:hRule="atLeast"/>
          <w:trHeight w:val="144" w:hRule="atLeast"/>
        </w:trPr>
        <w:tc>
          <w:tcPr>
            <w:tcW w:w="8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4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5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459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345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286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405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351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336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378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378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432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8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192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4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813420" w:id="15"/>
    <w:p>
      <w:pPr>
        <w:sectPr>
          <w:pgSz w:w="16383" w:h="11906" w:orient="landscape"/>
        </w:sectPr>
      </w:pPr>
    </w:p>
    <w:bookmarkEnd w:id="15"/>
    <w:bookmarkEnd w:id="14"/>
    <w:bookmarkStart w:name="block-981342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a5bb61c-2e1e-4c92-8fe7-f576740d0c55" w:id="17"/>
      <w:r>
        <w:rPr>
          <w:rFonts w:ascii="Times New Roman" w:hAnsi="Times New Roman"/>
          <w:b w:val="false"/>
          <w:i w:val="false"/>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813423"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