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28357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r>
        <w:rPr>
          <w:rFonts w:ascii="Times New Roman" w:hAnsi="Times New Roman"/>
          <w:b/>
          <w:i w:val="false"/>
          <w:color w:val="000000"/>
          <w:sz w:val="28"/>
        </w:rPr>
        <w:t xml:space="preserve">ДЕПАРТАМЕНТ СМОЛЕНСКОЙ ОБЛАСТИ ПО ОБРАЗОВАНИЮ И НАУКЕ </w:t>
      </w:r>
      <w:bookmarkEnd w:id="1"/>
    </w:p>
    <w:p>
      <w:pPr>
        <w:spacing w:before="0" w:after="0" w:line="408"/>
        <w:ind w:left="120"/>
        <w:jc w:val="center"/>
      </w:pPr>
      <w:bookmarkStart w:name="b9444d29-65ec-4c32-898a-350f279bf839" w:id="2"/>
      <w:r>
        <w:rPr>
          <w:rFonts w:ascii="Times New Roman" w:hAnsi="Times New Roman"/>
          <w:b/>
          <w:i w:val="false"/>
          <w:color w:val="000000"/>
          <w:sz w:val="28"/>
        </w:rPr>
        <w:t>МУНИЦИПАЛЬНОЕ ОБРАЗОВАНИЕ "МОНАСТЫРЩИНСКИЙ РАЙОН"</w:t>
      </w:r>
      <w:bookmarkEnd w:id="2"/>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Евсеенкова Л.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32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2708560)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3"/>
      <w:r>
        <w:rPr>
          <w:rFonts w:ascii="Times New Roman" w:hAnsi="Times New Roman"/>
          <w:b/>
          <w:i w:val="false"/>
          <w:color w:val="000000"/>
          <w:sz w:val="28"/>
        </w:rPr>
        <w:t>Татарск</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w:t>
      </w:r>
      <w:bookmarkEnd w:id="4"/>
    </w:p>
    <w:p>
      <w:pPr>
        <w:spacing w:before="0" w:after="0"/>
        <w:ind w:left="120"/>
        <w:jc w:val="left"/>
      </w:pPr>
    </w:p>
    <w:bookmarkStart w:name="block-20283573" w:id="5"/>
    <w:p>
      <w:pPr>
        <w:sectPr>
          <w:pgSz w:w="11906" w:h="16383" w:orient="portrait"/>
        </w:sectPr>
      </w:pPr>
    </w:p>
    <w:bookmarkEnd w:id="5"/>
    <w:bookmarkEnd w:id="0"/>
    <w:bookmarkStart w:name="block-20283574"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0283574" w:id="8"/>
    <w:p>
      <w:pPr>
        <w:sectPr>
          <w:pgSz w:w="11906" w:h="16383" w:orient="portrait"/>
        </w:sectPr>
      </w:pPr>
    </w:p>
    <w:bookmarkEnd w:id="8"/>
    <w:bookmarkEnd w:id="6"/>
    <w:bookmarkStart w:name="block-20283575"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0283575" w:id="12"/>
    <w:p>
      <w:pPr>
        <w:sectPr>
          <w:pgSz w:w="11906" w:h="16383" w:orient="portrait"/>
        </w:sectPr>
      </w:pPr>
    </w:p>
    <w:bookmarkEnd w:id="12"/>
    <w:bookmarkEnd w:id="9"/>
    <w:bookmarkStart w:name="block-20283576"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0283576" w:id="15"/>
    <w:p>
      <w:pPr>
        <w:sectPr>
          <w:pgSz w:w="11906" w:h="16383" w:orient="portrait"/>
        </w:sectPr>
      </w:pPr>
    </w:p>
    <w:bookmarkEnd w:id="15"/>
    <w:bookmarkEnd w:id="13"/>
    <w:bookmarkStart w:name="block-20283577"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312"/>
        <w:gridCol w:w="2720"/>
        <w:gridCol w:w="2669"/>
        <w:gridCol w:w="6852"/>
        <w:gridCol w:w="41"/>
      </w:tblGrid>
      <w:tr>
        <w:trPr>
          <w:trHeight w:val="300" w:hRule="atLeast"/>
          <w:trHeight w:val="144" w:hRule="atLeast"/>
        </w:trPr>
        <w:tc>
          <w:tcPr>
            <w:tcW w:w="9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68"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7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300"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300"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r>
        <w:trPr>
          <w:trHeight w:val="6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479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4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9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0283577" w:id="17"/>
    <w:p>
      <w:pPr>
        <w:sectPr>
          <w:pgSz w:w="16383" w:h="11906" w:orient="landscape"/>
        </w:sectPr>
      </w:pPr>
    </w:p>
    <w:bookmarkEnd w:id="17"/>
    <w:bookmarkEnd w:id="16"/>
    <w:bookmarkStart w:name="block-20283578"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238"/>
        <w:gridCol w:w="2720"/>
        <w:gridCol w:w="2608"/>
        <w:gridCol w:w="2800"/>
        <w:gridCol w:w="4228"/>
      </w:tblGrid>
      <w:tr>
        <w:trPr>
          <w:trHeight w:val="300" w:hRule="atLeast"/>
          <w:trHeight w:val="144" w:hRule="atLeast"/>
        </w:trPr>
        <w:tc>
          <w:tcPr>
            <w:tcW w:w="8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82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2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959" w:type="dxa"/>
            <w:tcBorders/>
            <w:tcMar>
              <w:top w:w="50" w:type="dxa"/>
              <w:left w:w="100" w:type="dxa"/>
            </w:tcMar>
            <w:vAlign w:val="center"/>
          </w:tcPr>
          <w:p>
            <w:pPr>
              <w:spacing w:before="0" w:after="0"/>
              <w:ind w:left="135"/>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959" w:type="dxa"/>
            <w:tcBorders/>
            <w:tcMar>
              <w:top w:w="50" w:type="dxa"/>
              <w:left w:w="100" w:type="dxa"/>
            </w:tcMar>
            <w:vAlign w:val="center"/>
          </w:tcPr>
          <w:p>
            <w:pPr>
              <w:spacing w:before="0" w:after="0"/>
              <w:ind w:left="135"/>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959" w:type="dxa"/>
            <w:tcBorders/>
            <w:tcMar>
              <w:top w:w="50" w:type="dxa"/>
              <w:left w:w="100" w:type="dxa"/>
            </w:tcMar>
            <w:vAlign w:val="center"/>
          </w:tcPr>
          <w:p>
            <w:pPr>
              <w:spacing w:before="0" w:after="0"/>
              <w:ind w:left="135"/>
              <w:jc w:val="left"/>
            </w:pPr>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959" w:type="dxa"/>
            <w:tcBorders/>
            <w:tcMar>
              <w:top w:w="50" w:type="dxa"/>
              <w:left w:w="100" w:type="dxa"/>
            </w:tcMar>
            <w:vAlign w:val="center"/>
          </w:tcPr>
          <w:p>
            <w:pPr>
              <w:spacing w:before="0" w:after="0"/>
              <w:ind w:left="135"/>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959" w:type="dxa"/>
            <w:tcBorders/>
            <w:tcMar>
              <w:top w:w="50" w:type="dxa"/>
              <w:left w:w="100" w:type="dxa"/>
            </w:tcMar>
            <w:vAlign w:val="center"/>
          </w:tcPr>
          <w:p>
            <w:pPr>
              <w:spacing w:before="0" w:after="0"/>
              <w:ind w:left="135"/>
              <w:jc w:val="left"/>
            </w:pPr>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959" w:type="dxa"/>
            <w:tcBorders/>
            <w:tcMar>
              <w:top w:w="50" w:type="dxa"/>
              <w:left w:w="100" w:type="dxa"/>
            </w:tcMar>
            <w:vAlign w:val="center"/>
          </w:tcPr>
          <w:p>
            <w:pPr>
              <w:spacing w:before="0" w:after="0"/>
              <w:ind w:left="135"/>
              <w:jc w:val="left"/>
            </w:pPr>
          </w:p>
        </w:tc>
      </w:tr>
      <w:tr>
        <w:trPr>
          <w:trHeight w:val="14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959" w:type="dxa"/>
            <w:tcBorders/>
            <w:tcMar>
              <w:top w:w="50" w:type="dxa"/>
              <w:left w:w="100" w:type="dxa"/>
            </w:tcMar>
            <w:vAlign w:val="center"/>
          </w:tcPr>
          <w:p>
            <w:pPr>
              <w:spacing w:before="0" w:after="0"/>
              <w:ind w:left="135"/>
              <w:jc w:val="left"/>
            </w:pPr>
          </w:p>
        </w:tc>
      </w:tr>
      <w:tr>
        <w:trPr>
          <w:trHeight w:val="109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959" w:type="dxa"/>
            <w:tcBorders/>
            <w:tcMar>
              <w:top w:w="50" w:type="dxa"/>
              <w:left w:w="100" w:type="dxa"/>
            </w:tcMar>
            <w:vAlign w:val="center"/>
          </w:tcPr>
          <w:p>
            <w:pPr>
              <w:spacing w:before="0" w:after="0"/>
              <w:ind w:left="135"/>
              <w:jc w:val="left"/>
            </w:pPr>
          </w:p>
        </w:tc>
      </w:tr>
      <w:tr>
        <w:trPr>
          <w:trHeight w:val="300"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959" w:type="dxa"/>
            <w:tcBorders/>
            <w:tcMar>
              <w:top w:w="50" w:type="dxa"/>
              <w:left w:w="100" w:type="dxa"/>
            </w:tcMar>
            <w:vAlign w:val="center"/>
          </w:tcPr>
          <w:p>
            <w:pPr>
              <w:spacing w:before="0" w:after="0"/>
              <w:ind w:left="135"/>
              <w:jc w:val="left"/>
            </w:pPr>
          </w:p>
        </w:tc>
      </w:tr>
      <w:tr>
        <w:trPr>
          <w:trHeight w:val="109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959" w:type="dxa"/>
            <w:tcBorders/>
            <w:tcMar>
              <w:top w:w="50" w:type="dxa"/>
              <w:left w:w="100" w:type="dxa"/>
            </w:tcMar>
            <w:vAlign w:val="center"/>
          </w:tcPr>
          <w:p>
            <w:pPr>
              <w:spacing w:before="0" w:after="0"/>
              <w:ind w:left="135"/>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959" w:type="dxa"/>
            <w:tcBorders/>
            <w:tcMar>
              <w:top w:w="50" w:type="dxa"/>
              <w:left w:w="100" w:type="dxa"/>
            </w:tcMar>
            <w:vAlign w:val="center"/>
          </w:tcPr>
          <w:p>
            <w:pPr>
              <w:spacing w:before="0" w:after="0"/>
              <w:ind w:left="135"/>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959" w:type="dxa"/>
            <w:tcBorders/>
            <w:tcMar>
              <w:top w:w="50" w:type="dxa"/>
              <w:left w:w="100" w:type="dxa"/>
            </w:tcMar>
            <w:vAlign w:val="center"/>
          </w:tcPr>
          <w:p>
            <w:pPr>
              <w:spacing w:before="0" w:after="0"/>
              <w:ind w:left="135"/>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959" w:type="dxa"/>
            <w:tcBorders/>
            <w:tcMar>
              <w:top w:w="50" w:type="dxa"/>
              <w:left w:w="100" w:type="dxa"/>
            </w:tcMar>
            <w:vAlign w:val="center"/>
          </w:tcPr>
          <w:p>
            <w:pPr>
              <w:spacing w:before="0" w:after="0"/>
              <w:ind w:left="135"/>
              <w:jc w:val="left"/>
            </w:pPr>
          </w:p>
        </w:tc>
      </w:tr>
      <w:tr>
        <w:trPr>
          <w:trHeight w:val="300"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2959" w:type="dxa"/>
            <w:tcBorders/>
            <w:tcMar>
              <w:top w:w="50" w:type="dxa"/>
              <w:left w:w="100" w:type="dxa"/>
            </w:tcMar>
            <w:vAlign w:val="center"/>
          </w:tcPr>
          <w:p>
            <w:pPr>
              <w:spacing w:before="0" w:after="0"/>
              <w:ind w:left="135"/>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959" w:type="dxa"/>
            <w:tcBorders/>
            <w:tcMar>
              <w:top w:w="50" w:type="dxa"/>
              <w:left w:w="100" w:type="dxa"/>
            </w:tcMar>
            <w:vAlign w:val="center"/>
          </w:tcPr>
          <w:p>
            <w:pPr>
              <w:spacing w:before="0" w:after="0"/>
              <w:ind w:left="135"/>
              <w:jc w:val="left"/>
            </w:pPr>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959" w:type="dxa"/>
            <w:tcBorders/>
            <w:tcMar>
              <w:top w:w="50" w:type="dxa"/>
              <w:left w:w="100" w:type="dxa"/>
            </w:tcMar>
            <w:vAlign w:val="center"/>
          </w:tcPr>
          <w:p>
            <w:pPr>
              <w:spacing w:before="0" w:after="0"/>
              <w:ind w:left="135"/>
              <w:jc w:val="left"/>
            </w:pPr>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959" w:type="dxa"/>
            <w:tcBorders/>
            <w:tcMar>
              <w:top w:w="50" w:type="dxa"/>
              <w:left w:w="100" w:type="dxa"/>
            </w:tcMar>
            <w:vAlign w:val="center"/>
          </w:tcPr>
          <w:p>
            <w:pPr>
              <w:spacing w:before="0" w:after="0"/>
              <w:ind w:left="135"/>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959" w:type="dxa"/>
            <w:tcBorders/>
            <w:tcMar>
              <w:top w:w="50" w:type="dxa"/>
              <w:left w:w="100" w:type="dxa"/>
            </w:tcMar>
            <w:vAlign w:val="center"/>
          </w:tcPr>
          <w:p>
            <w:pPr>
              <w:spacing w:before="0" w:after="0"/>
              <w:ind w:left="135"/>
              <w:jc w:val="left"/>
            </w:pPr>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959" w:type="dxa"/>
            <w:tcBorders/>
            <w:tcMar>
              <w:top w:w="50" w:type="dxa"/>
              <w:left w:w="100" w:type="dxa"/>
            </w:tcMar>
            <w:vAlign w:val="center"/>
          </w:tcPr>
          <w:p>
            <w:pPr>
              <w:spacing w:before="0" w:after="0"/>
              <w:ind w:left="135"/>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2959" w:type="dxa"/>
            <w:tcBorders/>
            <w:tcMar>
              <w:top w:w="50" w:type="dxa"/>
              <w:left w:w="100" w:type="dxa"/>
            </w:tcMar>
            <w:vAlign w:val="center"/>
          </w:tcPr>
          <w:p>
            <w:pPr>
              <w:spacing w:before="0" w:after="0"/>
              <w:ind w:left="135"/>
              <w:jc w:val="left"/>
            </w:pPr>
          </w:p>
        </w:tc>
      </w:tr>
      <w:tr>
        <w:trPr>
          <w:trHeight w:val="1050"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959" w:type="dxa"/>
            <w:tcBorders/>
            <w:tcMar>
              <w:top w:w="50" w:type="dxa"/>
              <w:left w:w="100" w:type="dxa"/>
            </w:tcMar>
            <w:vAlign w:val="center"/>
          </w:tcPr>
          <w:p>
            <w:pPr>
              <w:spacing w:before="0" w:after="0"/>
              <w:ind w:left="135"/>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238"/>
        <w:gridCol w:w="2720"/>
        <w:gridCol w:w="2608"/>
        <w:gridCol w:w="2800"/>
        <w:gridCol w:w="4228"/>
      </w:tblGrid>
      <w:tr>
        <w:trPr>
          <w:trHeight w:val="300" w:hRule="atLeast"/>
          <w:trHeight w:val="144" w:hRule="atLeast"/>
        </w:trPr>
        <w:tc>
          <w:tcPr>
            <w:tcW w:w="8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82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2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959" w:type="dxa"/>
            <w:tcBorders/>
            <w:tcMar>
              <w:top w:w="50" w:type="dxa"/>
              <w:left w:w="100" w:type="dxa"/>
            </w:tcMar>
            <w:vAlign w:val="center"/>
          </w:tcPr>
          <w:p>
            <w:pPr>
              <w:spacing w:before="0" w:after="0"/>
              <w:ind w:left="135"/>
              <w:jc w:val="left"/>
            </w:pPr>
          </w:p>
        </w:tc>
      </w:tr>
      <w:tr>
        <w:trPr>
          <w:trHeight w:val="109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959" w:type="dxa"/>
            <w:tcBorders/>
            <w:tcMar>
              <w:top w:w="50" w:type="dxa"/>
              <w:left w:w="100" w:type="dxa"/>
            </w:tcMar>
            <w:vAlign w:val="center"/>
          </w:tcPr>
          <w:p>
            <w:pPr>
              <w:spacing w:before="0" w:after="0"/>
              <w:ind w:left="135"/>
              <w:jc w:val="left"/>
            </w:pPr>
          </w:p>
        </w:tc>
      </w:tr>
      <w:tr>
        <w:trPr>
          <w:trHeight w:val="109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959" w:type="dxa"/>
            <w:tcBorders/>
            <w:tcMar>
              <w:top w:w="50" w:type="dxa"/>
              <w:left w:w="100" w:type="dxa"/>
            </w:tcMar>
            <w:vAlign w:val="center"/>
          </w:tcPr>
          <w:p>
            <w:pPr>
              <w:spacing w:before="0" w:after="0"/>
              <w:ind w:left="135"/>
              <w:jc w:val="left"/>
            </w:pPr>
          </w:p>
        </w:tc>
      </w:tr>
      <w:tr>
        <w:trPr>
          <w:trHeight w:val="109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959" w:type="dxa"/>
            <w:tcBorders/>
            <w:tcMar>
              <w:top w:w="50" w:type="dxa"/>
              <w:left w:w="100" w:type="dxa"/>
            </w:tcMar>
            <w:vAlign w:val="center"/>
          </w:tcPr>
          <w:p>
            <w:pPr>
              <w:spacing w:before="0" w:after="0"/>
              <w:ind w:left="135"/>
              <w:jc w:val="left"/>
            </w:pPr>
          </w:p>
        </w:tc>
      </w:tr>
      <w:tr>
        <w:trPr>
          <w:trHeight w:val="300"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959" w:type="dxa"/>
            <w:tcBorders/>
            <w:tcMar>
              <w:top w:w="50" w:type="dxa"/>
              <w:left w:w="100" w:type="dxa"/>
            </w:tcMar>
            <w:vAlign w:val="center"/>
          </w:tcPr>
          <w:p>
            <w:pPr>
              <w:spacing w:before="0" w:after="0"/>
              <w:ind w:left="135"/>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959" w:type="dxa"/>
            <w:tcBorders/>
            <w:tcMar>
              <w:top w:w="50" w:type="dxa"/>
              <w:left w:w="100" w:type="dxa"/>
            </w:tcMar>
            <w:vAlign w:val="center"/>
          </w:tcPr>
          <w:p>
            <w:pPr>
              <w:spacing w:before="0" w:after="0"/>
              <w:ind w:left="135"/>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959" w:type="dxa"/>
            <w:tcBorders/>
            <w:tcMar>
              <w:top w:w="50" w:type="dxa"/>
              <w:left w:w="100" w:type="dxa"/>
            </w:tcMar>
            <w:vAlign w:val="center"/>
          </w:tcPr>
          <w:p>
            <w:pPr>
              <w:spacing w:before="0" w:after="0"/>
              <w:ind w:left="135"/>
              <w:jc w:val="left"/>
            </w:pPr>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959" w:type="dxa"/>
            <w:tcBorders/>
            <w:tcMar>
              <w:top w:w="50" w:type="dxa"/>
              <w:left w:w="100" w:type="dxa"/>
            </w:tcMar>
            <w:vAlign w:val="center"/>
          </w:tcPr>
          <w:p>
            <w:pPr>
              <w:spacing w:before="0" w:after="0"/>
              <w:ind w:left="135"/>
              <w:jc w:val="left"/>
            </w:pPr>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959" w:type="dxa"/>
            <w:tcBorders/>
            <w:tcMar>
              <w:top w:w="50" w:type="dxa"/>
              <w:left w:w="100" w:type="dxa"/>
            </w:tcMar>
            <w:vAlign w:val="center"/>
          </w:tcPr>
          <w:p>
            <w:pPr>
              <w:spacing w:before="0" w:after="0"/>
              <w:ind w:left="135"/>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73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959" w:type="dxa"/>
            <w:tcBorders/>
            <w:tcMar>
              <w:top w:w="50" w:type="dxa"/>
              <w:left w:w="100" w:type="dxa"/>
            </w:tcMar>
            <w:vAlign w:val="center"/>
          </w:tcPr>
          <w:p>
            <w:pPr>
              <w:spacing w:before="0" w:after="0"/>
              <w:ind w:left="135"/>
              <w:jc w:val="left"/>
            </w:pPr>
          </w:p>
        </w:tc>
      </w:tr>
      <w:tr>
        <w:trPr>
          <w:trHeight w:val="109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959" w:type="dxa"/>
            <w:tcBorders/>
            <w:tcMar>
              <w:top w:w="50" w:type="dxa"/>
              <w:left w:w="100" w:type="dxa"/>
            </w:tcMar>
            <w:vAlign w:val="center"/>
          </w:tcPr>
          <w:p>
            <w:pPr>
              <w:spacing w:before="0" w:after="0"/>
              <w:ind w:left="135"/>
              <w:jc w:val="left"/>
            </w:pPr>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959" w:type="dxa"/>
            <w:tcBorders/>
            <w:tcMar>
              <w:top w:w="50" w:type="dxa"/>
              <w:left w:w="100" w:type="dxa"/>
            </w:tcMar>
            <w:vAlign w:val="center"/>
          </w:tcPr>
          <w:p>
            <w:pPr>
              <w:spacing w:before="0" w:after="0"/>
              <w:ind w:left="135"/>
              <w:jc w:val="left"/>
            </w:pPr>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959" w:type="dxa"/>
            <w:tcBorders/>
            <w:tcMar>
              <w:top w:w="50" w:type="dxa"/>
              <w:left w:w="100" w:type="dxa"/>
            </w:tcMar>
            <w:vAlign w:val="center"/>
          </w:tcPr>
          <w:p>
            <w:pPr>
              <w:spacing w:before="0" w:after="0"/>
              <w:ind w:left="135"/>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959" w:type="dxa"/>
            <w:tcBorders/>
            <w:tcMar>
              <w:top w:w="50" w:type="dxa"/>
              <w:left w:w="100" w:type="dxa"/>
            </w:tcMar>
            <w:vAlign w:val="center"/>
          </w:tcPr>
          <w:p>
            <w:pPr>
              <w:spacing w:before="0" w:after="0"/>
              <w:ind w:left="135"/>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959" w:type="dxa"/>
            <w:tcBorders/>
            <w:tcMar>
              <w:top w:w="50" w:type="dxa"/>
              <w:left w:w="100" w:type="dxa"/>
            </w:tcMar>
            <w:vAlign w:val="center"/>
          </w:tcPr>
          <w:p>
            <w:pPr>
              <w:spacing w:before="0" w:after="0"/>
              <w:ind w:left="135"/>
              <w:jc w:val="left"/>
            </w:pPr>
          </w:p>
        </w:tc>
      </w:tr>
      <w:tr>
        <w:trPr>
          <w:trHeight w:val="109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2959" w:type="dxa"/>
            <w:tcBorders/>
            <w:tcMar>
              <w:top w:w="50" w:type="dxa"/>
              <w:left w:w="100" w:type="dxa"/>
            </w:tcMar>
            <w:vAlign w:val="center"/>
          </w:tcPr>
          <w:p>
            <w:pPr>
              <w:spacing w:before="0" w:after="0"/>
              <w:ind w:left="135"/>
              <w:jc w:val="left"/>
            </w:pPr>
          </w:p>
        </w:tc>
      </w:tr>
      <w:tr>
        <w:trPr>
          <w:trHeight w:val="109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959" w:type="dxa"/>
            <w:tcBorders/>
            <w:tcMar>
              <w:top w:w="50" w:type="dxa"/>
              <w:left w:w="100" w:type="dxa"/>
            </w:tcMar>
            <w:vAlign w:val="center"/>
          </w:tcPr>
          <w:p>
            <w:pPr>
              <w:spacing w:before="0" w:after="0"/>
              <w:ind w:left="135"/>
              <w:jc w:val="left"/>
            </w:pPr>
          </w:p>
        </w:tc>
      </w:tr>
      <w:tr>
        <w:trPr>
          <w:trHeight w:val="109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959" w:type="dxa"/>
            <w:tcBorders/>
            <w:tcMar>
              <w:top w:w="50" w:type="dxa"/>
              <w:left w:w="100" w:type="dxa"/>
            </w:tcMar>
            <w:vAlign w:val="center"/>
          </w:tcPr>
          <w:p>
            <w:pPr>
              <w:spacing w:before="0" w:after="0"/>
              <w:ind w:left="135"/>
              <w:jc w:val="left"/>
            </w:pPr>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959" w:type="dxa"/>
            <w:tcBorders/>
            <w:tcMar>
              <w:top w:w="50" w:type="dxa"/>
              <w:left w:w="100" w:type="dxa"/>
            </w:tcMar>
            <w:vAlign w:val="center"/>
          </w:tcPr>
          <w:p>
            <w:pPr>
              <w:spacing w:before="0" w:after="0"/>
              <w:ind w:left="135"/>
              <w:jc w:val="left"/>
            </w:pPr>
          </w:p>
        </w:tc>
      </w:tr>
      <w:tr>
        <w:trPr>
          <w:trHeight w:val="109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959" w:type="dxa"/>
            <w:tcBorders/>
            <w:tcMar>
              <w:top w:w="50" w:type="dxa"/>
              <w:left w:w="100" w:type="dxa"/>
            </w:tcMar>
            <w:vAlign w:val="center"/>
          </w:tcPr>
          <w:p>
            <w:pPr>
              <w:spacing w:before="0" w:after="0"/>
              <w:ind w:left="135"/>
              <w:jc w:val="left"/>
            </w:pPr>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959" w:type="dxa"/>
            <w:tcBorders/>
            <w:tcMar>
              <w:top w:w="50" w:type="dxa"/>
              <w:left w:w="100" w:type="dxa"/>
            </w:tcMar>
            <w:vAlign w:val="center"/>
          </w:tcPr>
          <w:p>
            <w:pPr>
              <w:spacing w:before="0" w:after="0"/>
              <w:ind w:left="135"/>
              <w:jc w:val="left"/>
            </w:pPr>
          </w:p>
        </w:tc>
      </w:tr>
      <w:tr>
        <w:trPr>
          <w:trHeight w:val="55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959" w:type="dxa"/>
            <w:tcBorders/>
            <w:tcMar>
              <w:top w:w="50" w:type="dxa"/>
              <w:left w:w="100" w:type="dxa"/>
            </w:tcMar>
            <w:vAlign w:val="center"/>
          </w:tcPr>
          <w:p>
            <w:pPr>
              <w:spacing w:before="0" w:after="0"/>
              <w:ind w:left="135"/>
              <w:jc w:val="left"/>
            </w:pPr>
          </w:p>
        </w:tc>
      </w:tr>
      <w:tr>
        <w:trPr>
          <w:trHeight w:val="300"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2959" w:type="dxa"/>
            <w:tcBorders/>
            <w:tcMar>
              <w:top w:w="50" w:type="dxa"/>
              <w:left w:w="100" w:type="dxa"/>
            </w:tcMar>
            <w:vAlign w:val="center"/>
          </w:tcPr>
          <w:p>
            <w:pPr>
              <w:spacing w:before="0" w:after="0"/>
              <w:ind w:left="135"/>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959" w:type="dxa"/>
            <w:tcBorders/>
            <w:tcMar>
              <w:top w:w="50" w:type="dxa"/>
              <w:left w:w="100" w:type="dxa"/>
            </w:tcMar>
            <w:vAlign w:val="center"/>
          </w:tcPr>
          <w:p>
            <w:pPr>
              <w:spacing w:before="0" w:after="0"/>
              <w:ind w:left="135"/>
              <w:jc w:val="left"/>
            </w:pPr>
          </w:p>
        </w:tc>
      </w:tr>
      <w:tr>
        <w:trPr>
          <w:trHeight w:val="825" w:hRule="atLeast"/>
          <w:trHeight w:val="144" w:hRule="atLeast"/>
        </w:trPr>
        <w:tc>
          <w:tcPr>
            <w:tcW w:w="8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18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2959" w:type="dxa"/>
            <w:tcBorders/>
            <w:tcMar>
              <w:top w:w="50" w:type="dxa"/>
              <w:left w:w="100" w:type="dxa"/>
            </w:tcMar>
            <w:vAlign w:val="center"/>
          </w:tcPr>
          <w:p>
            <w:pPr>
              <w:spacing w:before="0" w:after="0"/>
              <w:ind w:left="135"/>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83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283578" w:id="19"/>
    <w:p>
      <w:pPr>
        <w:sectPr>
          <w:pgSz w:w="16383" w:h="11906" w:orient="landscape"/>
        </w:sectPr>
      </w:pPr>
    </w:p>
    <w:bookmarkEnd w:id="19"/>
    <w:bookmarkEnd w:id="18"/>
    <w:bookmarkStart w:name="block-20283579"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4bf6636-2c61-4c65-87ef-0b356004ea0d" w:id="21"/>
      <w:r>
        <w:rPr>
          <w:rFonts w:ascii="Times New Roman" w:hAnsi="Times New Roman"/>
          <w:b w:val="false"/>
          <w:i w:val="false"/>
          <w:color w:val="000000"/>
          <w:sz w:val="28"/>
        </w:rPr>
        <w:t>• Музыка, 6 класс/ Сергеева Г. П., Критская Е. Д., Акционерное общество «Издательство «Просвещение»</w:t>
      </w:r>
      <w:bookmarkEnd w:id="2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0283579" w:id="22"/>
    <w:p>
      <w:pPr>
        <w:sectPr>
          <w:pgSz w:w="11906" w:h="16383" w:orient="portrait"/>
        </w:sectPr>
      </w:pPr>
    </w:p>
    <w:bookmarkEnd w:id="22"/>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